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80" w:lineRule="exact"/>
        <w:jc w:val="both"/>
        <w:rPr>
          <w:rFonts w:hint="eastAsia" w:ascii="宋体" w:hAnsi="宋体"/>
          <w:b/>
          <w:bCs/>
          <w:sz w:val="30"/>
          <w:szCs w:val="30"/>
          <w:lang w:val="en-US" w:eastAsia="zh-CN"/>
        </w:rPr>
      </w:pPr>
      <w:r>
        <w:rPr>
          <w:rFonts w:hint="eastAsia" w:ascii="宋体" w:hAnsi="宋体"/>
          <w:b/>
          <w:bCs/>
          <w:sz w:val="24"/>
        </w:rPr>
        <w:t xml:space="preserve">附件1：   </w:t>
      </w:r>
      <w:r>
        <w:rPr>
          <w:rFonts w:hint="eastAsia" w:ascii="宋体" w:hAnsi="宋体"/>
          <w:b/>
          <w:bCs/>
          <w:sz w:val="30"/>
          <w:szCs w:val="30"/>
        </w:rPr>
        <w:t xml:space="preserve">                    </w:t>
      </w:r>
      <w:r>
        <w:rPr>
          <w:rFonts w:hint="eastAsia" w:ascii="宋体" w:hAnsi="宋体"/>
          <w:b/>
          <w:bCs/>
          <w:sz w:val="30"/>
          <w:szCs w:val="30"/>
          <w:lang w:val="en-US" w:eastAsia="zh-CN"/>
        </w:rPr>
        <w:t xml:space="preserve"> </w:t>
      </w:r>
    </w:p>
    <w:p>
      <w:pPr>
        <w:autoSpaceDE w:val="0"/>
        <w:autoSpaceDN w:val="0"/>
        <w:adjustRightInd w:val="0"/>
        <w:spacing w:line="480" w:lineRule="exact"/>
        <w:jc w:val="center"/>
        <w:rPr>
          <w:rFonts w:ascii="宋体" w:hAnsi="宋体"/>
          <w:b/>
          <w:bCs/>
          <w:sz w:val="32"/>
          <w:szCs w:val="32"/>
        </w:rPr>
      </w:pPr>
      <w:r>
        <w:rPr>
          <w:rFonts w:hint="eastAsia" w:ascii="宋体" w:hAnsi="宋体"/>
          <w:b/>
          <w:bCs/>
          <w:sz w:val="32"/>
          <w:szCs w:val="32"/>
        </w:rPr>
        <w:t>需求文件</w:t>
      </w:r>
    </w:p>
    <w:p>
      <w:pPr>
        <w:pStyle w:val="11"/>
        <w:numPr>
          <w:ilvl w:val="0"/>
          <w:numId w:val="1"/>
        </w:numPr>
        <w:spacing w:before="156" w:beforeLines="50" w:line="360" w:lineRule="auto"/>
        <w:ind w:firstLineChars="0"/>
        <w:rPr>
          <w:rFonts w:ascii="宋体" w:hAnsi="宋体" w:cs="宋体"/>
          <w:b/>
          <w:bCs w:val="0"/>
          <w:szCs w:val="21"/>
        </w:rPr>
      </w:pPr>
      <w:r>
        <w:rPr>
          <w:rFonts w:hint="eastAsia" w:ascii="宋体" w:hAnsi="宋体" w:cs="宋体"/>
          <w:b/>
          <w:szCs w:val="21"/>
        </w:rPr>
        <w:t>项目一览表:</w:t>
      </w:r>
    </w:p>
    <w:tbl>
      <w:tblPr>
        <w:tblStyle w:val="9"/>
        <w:tblpPr w:leftFromText="180" w:rightFromText="180" w:vertAnchor="text" w:horzAnchor="page" w:tblpX="842" w:tblpY="49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2219"/>
        <w:gridCol w:w="821"/>
        <w:gridCol w:w="585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采购内容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主要参数、要求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AISP(安思柏)</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WY-1640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1.UHF频段传输信号，频率范围：500MHz-900MHz；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四</w:t>
            </w:r>
            <w:r>
              <w:rPr>
                <w:rFonts w:hint="eastAsia" w:ascii="宋体" w:hAnsi="宋体" w:eastAsia="宋体" w:cs="宋体"/>
                <w:i w:val="0"/>
                <w:iCs w:val="0"/>
                <w:color w:val="000000"/>
                <w:kern w:val="0"/>
                <w:sz w:val="22"/>
                <w:szCs w:val="22"/>
                <w:u w:val="none"/>
                <w:lang w:val="en-US" w:eastAsia="zh-CN" w:bidi="ar"/>
              </w:rPr>
              <w:t>通道接收信号,每通道有≥200个信道可选，每个信道以250KHz步进；每通道用24.75MHz</w:t>
            </w:r>
            <w:r>
              <w:rPr>
                <w:rFonts w:hint="eastAsia" w:ascii="宋体" w:hAnsi="宋体" w:cs="宋体"/>
                <w:i w:val="0"/>
                <w:iCs w:val="0"/>
                <w:color w:val="000000"/>
                <w:kern w:val="0"/>
                <w:sz w:val="22"/>
                <w:szCs w:val="22"/>
                <w:u w:val="none"/>
                <w:lang w:val="en-US" w:eastAsia="zh-CN" w:bidi="ar"/>
              </w:rPr>
              <w:t>（配备4个无线麦克风）</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3.各通道配备独有的ID号，增强抗干扰功能，支持≥40台叠机使用（即40台接收机和80个发射器）；</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4.内置高效抑制噪声线路，防啸叫功能显著；</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5.接收机背面设置2条橡胶接收天线，增强接收的信号，外观大方得体；</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6.背面设有≥2个平衡输出和1个混合非平衡输出，适合连接各种外置设备；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7.不再局限于一发射只能配对单一通道，实现同一发射可在两个通道400个信道中互通互用，尽显人性化的高技术设计；</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8.超静音轻触开关，轻按2S开启进入工作状态；</w:t>
            </w:r>
          </w:p>
          <w:p>
            <w:pPr>
              <w:keepNext w:val="0"/>
              <w:keepLines w:val="0"/>
              <w:widowControl/>
              <w:suppressLineNumbers w:val="0"/>
              <w:jc w:val="left"/>
              <w:textAlignment w:val="top"/>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9.手持设有射频功率选择档，可根据实际环境对应选择高（Hi）或（Lo)档；选择（Lo）时，可节省电池耗电量，延长使用时间，从而减少对其它频率发射接收的干扰；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AISP(安思柏)</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专业电容式麦克风AB8661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1.换能方式：电容式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2.频率响应不低于40Hz-18kHz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3.指向性：超心型指向；具有抗手机、电磁、高频干扰</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4.灵敏度不次于-45dB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5.最高输入音量：128dB 声压</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6.动态范围：109 dB，1KHz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7.讯噪比不次于75 dB</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8.具有幻象48V（幻象指既传输电流，也传输声音）</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AISP(安思柏)专业音箱AB8263P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1.单元结构：≥8"低音×1，≥1.75"高音×1</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2.频响范围不低于(±3dB) 65 Hz -20,000Hz</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3.灵敏度（折算到1m，1W）不次于 95dB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4.最大声压级≥ 120dB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5.额定功率≥150W</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6.指向性（H×V）： 90°×40°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AISP(安思柏)专业音箱支架AB83A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参数指标：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材料：金属+锌合金g</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特点：安装、使用方便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AISP(安思柏)专业立体声功放AX8350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1.采用先进的自动增益控制（AGC）技术，保证音频信号始终为高保真放大，并能有效保护功放与扬声器免受削波失真伤害；（需提供第三方检测机构出具的检测报告佐证此项）</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全系列拥有完善的保护电路：开机软启动，欠压，过压，过热，过载，过流，直流保护。所投产品厂家需提供检测报告佐证此项，并获得由中华人民共和国国家版权局颁发的产品安全自检系统软件著作权登记证书，提供证书复印件并盖生产厂商公章，证书编号在国家知识产权局官网可查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3.输出功率(EIA 1KHz 1%THD)  立体声 8Ω：≥350W×2；4Ω：≥530W×2；桥接 8Ω：≥1060W</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4.频响不低于20Hz-20kHz, ±0.5dB</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5.输入灵敏度 0.77V</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6.信噪比 ≥95dB；失真度 ≤0.03%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AISP(安思柏)专业调音台AT-12S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1.输入：≥12路话筒（MIC）卡农输入，兼容12路线路LINE IN输入，2路立体声输入，1路蓝牙输入，1路USB输入（支持录音）；</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★2.输出：≥1组左右声道主输出（L\R），4编组（GROUD)输出，4路辅助（AUX）输出，1路监听（PHONE）输出，2路CD/TAPE输出，1路返送（return）输出，1路效果脚踏开关（FX SW）；（保证功能真实存在可用，投标时需提供原厂原版纸彩页及官网截图及设备后面板图片证明加盖原厂公章。）</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3.每路话筒输入接口支持48V幻象供电，一键开关所有MIC接口幻象供电；</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4.每路MCI/LINE输入均具备PAD开关按键，4段EQ均衡，1个左右声像旋钮，1个效果旋钮，1个默音（MUTE）按键；</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5.具备≥19个60MM物理推杆，其中13个输入推杆，6个输出推杆；</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6.主输出（L\R）具备双7段图示均衡EQ可调；</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具备≥双99DSP效果器，效果音频可输出至主输出接口、编组输出接口或辅助输出接口；；为保证音质，内嵌AI音频降噪处理器，在检测到有噪音输入时可以制动降噪（要求提供国家版权局颁发的“AI音频降噪”字样的第三方权威登记证书复印件，并加盖生产厂家公章，证书编号在国家知识产权局官网可查询，并提供官方截图以证真伪）</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8.支持MP3播放及录音功能，显示屏可显示播放歌曲，具备上一曲、下一曲、暂停播放、录音等功能按键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AISP(安思柏)数字反馈抑制器WY1673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1.每通道提供压缩、限幅、噪声门、功能设置；                                                                                                                                                                   2.96KHz采样频率，32-bit DSP处理器，24-bit A/D及D/A转换；</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3.数字信号输入输出通道提供coaxial，AES及光纤接口；                                                                                                                                                                        4.采用全自动式陷波方式急速寻找与抑制啸频点；                                                                                                                                                                 5.独立≥24个滤波器每通道，自动抑制啸叫点；</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6.每通道≥24个led灯可显示啸叫点数量；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7.可切换工作模式为直通或反馈抑制；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8.可一键清除找到的啸叫点；</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9.单机可存储≥30组用户程序；</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10.采用LCD显示屏显示功能设定144*32，提供≥6段led显示输出电平；</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11.频率响应不次于：20Hz-20KHz；信噪比：≥110dB@1KHz 0dBu；失真度：≤0.01%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AISP(安思柏)电源时序器AB8672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1.通道数量：≥8路万用插座继电器受控与≥2路万用插座直通</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2.单路功率/总功率/输出电流：2000W/6000W/30A 277VAC</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★3.≥2寸彩屏显示电压，日期，时间，通道状态（提供产品照片）</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4.顺序开启逆序关闭，时间间隔可调</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5.RS232 COM口接入中控控制（指令控制）</w:t>
            </w:r>
          </w:p>
          <w:p>
            <w:pPr>
              <w:keepNext w:val="0"/>
              <w:keepLines w:val="0"/>
              <w:widowControl/>
              <w:suppressLineNumbers w:val="0"/>
              <w:jc w:val="left"/>
              <w:textAlignment w:val="top"/>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6.级联叠机ID:0-255，级联状态自动检测并设置</w:t>
            </w:r>
          </w:p>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★7.定时开关机功能，内置时钟芯片，可根据日期时间设定，无需人工操作（提供设置界面照片）；</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AISP(安思柏)音频系统跳线AB8.2D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1.8M6.35话筒插头-卡侬头（公）</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AISP(安思柏)音频系统跳线AB8.2E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1.8M卡侬头（母）-卡侬头（公）</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AISP(安思柏)音频系统跳线AB8.2G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1.8M，3.5mm - 双莲花（RCA）</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1.尺寸：600*600*200</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2.钢板厚度1.0 承重立柱2.0</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3.机柜层板5块</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机柜配电箱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独立配电</w:t>
            </w:r>
          </w:p>
          <w:p>
            <w:pPr>
              <w:numPr>
                <w:ilvl w:val="0"/>
                <w:numId w:val="2"/>
              </w:numPr>
              <w:jc w:val="lef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具有漏电保护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电源线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1.型号：3*</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RVV</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2.线芯材质: 纯无氧铜线</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音响线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1.200芯*2股</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2.纯无氧铜线芯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机柜合并工作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将一机柜内所有设备整合搬迁至新购机柜（语音、网络、光缆、监控）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系统硬件音频接入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将新增多媒体系统连接原有系统设备，并要求完成调试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五金杂件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线槽、配件、标签、胶布、码钉、扎带等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2"/>
        <w:rPr>
          <w:rFonts w:hint="eastAsia" w:ascii="宋体" w:hAnsi="宋体" w:cs="宋体"/>
          <w:b/>
          <w:szCs w:val="21"/>
        </w:rPr>
      </w:pPr>
    </w:p>
    <w:p>
      <w:pPr>
        <w:pStyle w:val="12"/>
        <w:rPr>
          <w:rFonts w:hint="eastAsia" w:ascii="宋体" w:hAnsi="宋体" w:cs="宋体"/>
          <w:b/>
          <w:szCs w:val="21"/>
        </w:rPr>
      </w:pPr>
    </w:p>
    <w:p>
      <w:pPr>
        <w:pStyle w:val="4"/>
        <w:numPr>
          <w:ilvl w:val="0"/>
          <w:numId w:val="3"/>
        </w:numPr>
        <w:tabs>
          <w:tab w:val="left" w:pos="540"/>
        </w:tabs>
        <w:adjustRightInd w:val="0"/>
        <w:snapToGrid w:val="0"/>
        <w:spacing w:before="156" w:beforeLines="50" w:line="360" w:lineRule="auto"/>
        <w:rPr>
          <w:rFonts w:hAnsi="宋体"/>
        </w:rPr>
      </w:pPr>
      <w:r>
        <w:rPr>
          <w:rFonts w:hint="eastAsia" w:hAnsi="宋体"/>
          <w:b/>
        </w:rPr>
        <w:t>安装</w:t>
      </w:r>
      <w:r>
        <w:rPr>
          <w:rFonts w:hAnsi="宋体"/>
          <w:b/>
        </w:rPr>
        <w:t>要求、</w:t>
      </w:r>
      <w:r>
        <w:rPr>
          <w:rFonts w:hint="eastAsia" w:hAnsi="宋体"/>
          <w:b/>
        </w:rPr>
        <w:t>质保期及售后服务要求</w:t>
      </w:r>
    </w:p>
    <w:p>
      <w:pPr>
        <w:pStyle w:val="4"/>
        <w:numPr>
          <w:ilvl w:val="0"/>
          <w:numId w:val="4"/>
        </w:numPr>
        <w:tabs>
          <w:tab w:val="left" w:pos="2340"/>
        </w:tabs>
        <w:adjustRightInd w:val="0"/>
        <w:snapToGrid w:val="0"/>
        <w:spacing w:before="156" w:beforeLines="50" w:line="360" w:lineRule="auto"/>
        <w:rPr>
          <w:rFonts w:hAnsi="宋体"/>
        </w:rPr>
      </w:pPr>
      <w:r>
        <w:rPr>
          <w:rFonts w:hint="eastAsia" w:hAnsi="宋体"/>
        </w:rPr>
        <w:t>安装要</w:t>
      </w:r>
      <w:r>
        <w:rPr>
          <w:rFonts w:hAnsi="宋体"/>
        </w:rPr>
        <w:t>求：</w:t>
      </w:r>
      <w:r>
        <w:rPr>
          <w:rFonts w:hint="eastAsia" w:hAnsi="宋体"/>
        </w:rPr>
        <w:t>必须</w:t>
      </w:r>
      <w:r>
        <w:rPr>
          <w:rFonts w:hAnsi="宋体"/>
        </w:rPr>
        <w:t>严格按照我院</w:t>
      </w:r>
      <w:r>
        <w:rPr>
          <w:rFonts w:hint="eastAsia" w:hAnsi="宋体"/>
        </w:rPr>
        <w:t>方案</w:t>
      </w:r>
      <w:r>
        <w:rPr>
          <w:rFonts w:hAnsi="宋体"/>
        </w:rPr>
        <w:t>安装</w:t>
      </w:r>
      <w:r>
        <w:rPr>
          <w:rFonts w:hint="eastAsia" w:hAnsi="宋体"/>
        </w:rPr>
        <w:t>藏</w:t>
      </w:r>
      <w:r>
        <w:rPr>
          <w:rFonts w:hAnsi="宋体"/>
        </w:rPr>
        <w:t>线及</w:t>
      </w:r>
      <w:r>
        <w:rPr>
          <w:rFonts w:hint="eastAsia" w:hAnsi="宋体"/>
          <w:lang w:val="en-US" w:eastAsia="zh-CN"/>
        </w:rPr>
        <w:t>多媒体各个设备</w:t>
      </w:r>
      <w:r>
        <w:rPr>
          <w:rFonts w:hint="eastAsia" w:hAnsi="宋体"/>
        </w:rPr>
        <w:t>位置。</w:t>
      </w:r>
    </w:p>
    <w:p>
      <w:pPr>
        <w:pStyle w:val="4"/>
        <w:numPr>
          <w:ilvl w:val="0"/>
          <w:numId w:val="4"/>
        </w:numPr>
        <w:tabs>
          <w:tab w:val="left" w:pos="2340"/>
        </w:tabs>
        <w:adjustRightInd w:val="0"/>
        <w:snapToGrid w:val="0"/>
        <w:spacing w:before="156" w:beforeLines="50" w:line="360" w:lineRule="auto"/>
        <w:rPr>
          <w:rFonts w:hint="eastAsia" w:hAnsi="宋体"/>
        </w:rPr>
      </w:pPr>
      <w:r>
        <w:rPr>
          <w:rFonts w:hint="eastAsia" w:hAnsi="宋体"/>
        </w:rPr>
        <w:t>质量保证期（简称“质保期”）为</w:t>
      </w:r>
      <w:r>
        <w:rPr>
          <w:rFonts w:hint="eastAsia" w:hAnsi="宋体"/>
          <w:lang w:val="en-US" w:eastAsia="zh-CN"/>
        </w:rPr>
        <w:t>一</w:t>
      </w:r>
      <w:r>
        <w:rPr>
          <w:rFonts w:hint="eastAsia" w:hAnsi="宋体"/>
        </w:rPr>
        <w:t>年，成交人对所供产品提供至少</w:t>
      </w:r>
      <w:r>
        <w:rPr>
          <w:rFonts w:hint="eastAsia" w:hAnsi="宋体"/>
          <w:lang w:val="en-US" w:eastAsia="zh-CN"/>
        </w:rPr>
        <w:t>一</w:t>
      </w:r>
      <w:r>
        <w:rPr>
          <w:rFonts w:hint="eastAsia" w:hAnsi="宋体"/>
        </w:rPr>
        <w:t>年服务,设备</w:t>
      </w:r>
      <w:r>
        <w:rPr>
          <w:rFonts w:hAnsi="宋体"/>
        </w:rPr>
        <w:t>：</w:t>
      </w:r>
      <w:r>
        <w:rPr>
          <w:rFonts w:hint="eastAsia" w:hAnsi="宋体"/>
        </w:rPr>
        <w:t>包修、包换、包维护、</w:t>
      </w:r>
      <w:r>
        <w:rPr>
          <w:rFonts w:hAnsi="宋体"/>
        </w:rPr>
        <w:t>线路</w:t>
      </w:r>
      <w:r>
        <w:rPr>
          <w:rFonts w:hint="eastAsia" w:hAnsi="宋体"/>
          <w:lang w:val="en-US" w:eastAsia="zh-CN"/>
        </w:rPr>
        <w:t>一</w:t>
      </w:r>
      <w:r>
        <w:rPr>
          <w:rFonts w:hint="eastAsia" w:hAnsi="宋体"/>
        </w:rPr>
        <w:t>年</w:t>
      </w:r>
      <w:r>
        <w:rPr>
          <w:rFonts w:hAnsi="宋体"/>
        </w:rPr>
        <w:t>维护、</w:t>
      </w:r>
      <w:r>
        <w:rPr>
          <w:rFonts w:hint="eastAsia" w:hAnsi="宋体"/>
          <w:lang w:val="en-US" w:eastAsia="zh-CN"/>
        </w:rPr>
        <w:t>一</w:t>
      </w:r>
      <w:r>
        <w:rPr>
          <w:rFonts w:hint="eastAsia" w:hAnsi="宋体"/>
        </w:rPr>
        <w:t>年内</w:t>
      </w:r>
      <w:r>
        <w:rPr>
          <w:rFonts w:hint="eastAsia" w:hAnsi="宋体"/>
          <w:lang w:val="en-US" w:eastAsia="zh-CN"/>
        </w:rPr>
        <w:t>进行</w:t>
      </w:r>
      <w:r>
        <w:rPr>
          <w:rFonts w:hint="eastAsia" w:hAnsi="宋体"/>
        </w:rPr>
        <w:t>定期和不定期对系统进行维护保养</w:t>
      </w:r>
      <w:r>
        <w:rPr>
          <w:rFonts w:hint="eastAsia" w:hAnsi="宋体"/>
          <w:lang w:val="en-US" w:eastAsia="zh-CN"/>
        </w:rPr>
        <w:t>6次</w:t>
      </w:r>
      <w:r>
        <w:rPr>
          <w:rFonts w:hint="eastAsia" w:hAnsi="宋体"/>
        </w:rPr>
        <w:t>，定期全面检修一次。</w:t>
      </w:r>
    </w:p>
    <w:p>
      <w:pPr>
        <w:pStyle w:val="4"/>
        <w:numPr>
          <w:ilvl w:val="0"/>
          <w:numId w:val="0"/>
        </w:numPr>
        <w:tabs>
          <w:tab w:val="left" w:pos="2340"/>
        </w:tabs>
        <w:adjustRightInd w:val="0"/>
        <w:snapToGrid w:val="0"/>
        <w:spacing w:before="156" w:beforeLines="50" w:line="360" w:lineRule="auto"/>
        <w:ind w:leftChars="0" w:firstLine="420" w:firstLineChars="200"/>
        <w:rPr>
          <w:rFonts w:hint="eastAsia" w:hAnsi="宋体"/>
        </w:rPr>
      </w:pPr>
      <w:r>
        <w:rPr>
          <w:rFonts w:hint="eastAsia" w:hAnsi="宋体"/>
        </w:rPr>
        <w:t>定期维护保养内容及措施如下：</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1）消除设备内外灰尘，相关机械活动部件应注润滑油，定期行一次彻底处理。</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2）检查设备间的线路，保持信号畅通，消除线路隐患。</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3）检查设备、线路绝缘状况，检查接地是否牢靠。</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4）对系统进行功能测试，提供测试报告。</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5）更换系统损坏零件，对工作不稳定的设备必须查出故障原因，给予彻底处理。</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6）检查设备连线是否紧密、无松动、电气性能符合相关规范。</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7）对电脑操作系统及相应软件进行检查，保证系统能正常运行。</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8）检查设备和系统参数设置是否正确，使设备和系统处于最佳设置状态。</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9）检查测试电源的输出电压，保证输出电压在标准输出的±5%范围内。</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10）检查所有金属件的腐蚀情况，如需要可除锈刷漆，检查设备并报告发现老化的情况。</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11）对存在的问题和隐患彻底进行处理，使系统处于良性工作状态。</w:t>
      </w:r>
    </w:p>
    <w:p>
      <w:pPr>
        <w:pStyle w:val="4"/>
        <w:numPr>
          <w:ilvl w:val="0"/>
          <w:numId w:val="0"/>
        </w:numPr>
        <w:tabs>
          <w:tab w:val="left" w:pos="2340"/>
        </w:tabs>
        <w:adjustRightInd w:val="0"/>
        <w:snapToGrid w:val="0"/>
        <w:spacing w:before="156" w:beforeLines="50" w:line="360" w:lineRule="auto"/>
        <w:ind w:leftChars="0" w:firstLine="840" w:firstLineChars="400"/>
        <w:rPr>
          <w:rFonts w:hint="eastAsia" w:hAnsi="宋体"/>
        </w:rPr>
      </w:pPr>
      <w:r>
        <w:rPr>
          <w:rFonts w:hint="eastAsia" w:hAnsi="宋体"/>
        </w:rPr>
        <w:t>12）及时提供以下报告：</w:t>
      </w:r>
    </w:p>
    <w:p>
      <w:pPr>
        <w:pStyle w:val="4"/>
        <w:numPr>
          <w:ilvl w:val="0"/>
          <w:numId w:val="0"/>
        </w:numPr>
        <w:tabs>
          <w:tab w:val="left" w:pos="2340"/>
        </w:tabs>
        <w:adjustRightInd w:val="0"/>
        <w:snapToGrid w:val="0"/>
        <w:spacing w:before="156" w:beforeLines="50" w:line="360" w:lineRule="auto"/>
        <w:ind w:left="0" w:leftChars="0" w:firstLine="1260" w:firstLineChars="600"/>
        <w:rPr>
          <w:rFonts w:hint="eastAsia" w:hAnsi="宋体"/>
        </w:rPr>
      </w:pPr>
      <w:r>
        <w:rPr>
          <w:rFonts w:hint="eastAsia" w:hAnsi="宋体"/>
        </w:rPr>
        <w:t>a.年度维保计划及维保报告；</w:t>
      </w:r>
    </w:p>
    <w:p>
      <w:pPr>
        <w:pStyle w:val="4"/>
        <w:numPr>
          <w:ilvl w:val="0"/>
          <w:numId w:val="0"/>
        </w:numPr>
        <w:tabs>
          <w:tab w:val="left" w:pos="2340"/>
        </w:tabs>
        <w:adjustRightInd w:val="0"/>
        <w:snapToGrid w:val="0"/>
        <w:spacing w:before="156" w:beforeLines="50" w:line="360" w:lineRule="auto"/>
        <w:ind w:left="0" w:leftChars="0" w:firstLine="1260" w:firstLineChars="600"/>
        <w:rPr>
          <w:rFonts w:hint="eastAsia" w:hAnsi="宋体"/>
        </w:rPr>
      </w:pPr>
      <w:r>
        <w:rPr>
          <w:rFonts w:hint="eastAsia" w:hAnsi="宋体"/>
        </w:rPr>
        <w:t>b.季度维护计划及维保报告；</w:t>
      </w:r>
    </w:p>
    <w:p>
      <w:pPr>
        <w:pStyle w:val="4"/>
        <w:numPr>
          <w:ilvl w:val="0"/>
          <w:numId w:val="0"/>
        </w:numPr>
        <w:tabs>
          <w:tab w:val="left" w:pos="2340"/>
        </w:tabs>
        <w:adjustRightInd w:val="0"/>
        <w:snapToGrid w:val="0"/>
        <w:spacing w:before="156" w:beforeLines="50" w:line="360" w:lineRule="auto"/>
        <w:ind w:left="0" w:leftChars="0" w:firstLine="1260" w:firstLineChars="600"/>
        <w:rPr>
          <w:rFonts w:hint="eastAsia" w:hAnsi="宋体"/>
        </w:rPr>
      </w:pPr>
      <w:r>
        <w:rPr>
          <w:rFonts w:hint="eastAsia" w:hAnsi="宋体"/>
        </w:rPr>
        <w:t>c.系统测试报告；</w:t>
      </w:r>
    </w:p>
    <w:p>
      <w:pPr>
        <w:pStyle w:val="4"/>
        <w:numPr>
          <w:ilvl w:val="0"/>
          <w:numId w:val="0"/>
        </w:numPr>
        <w:tabs>
          <w:tab w:val="left" w:pos="2340"/>
        </w:tabs>
        <w:adjustRightInd w:val="0"/>
        <w:snapToGrid w:val="0"/>
        <w:spacing w:before="156" w:beforeLines="50" w:line="360" w:lineRule="auto"/>
        <w:ind w:left="0" w:leftChars="0" w:firstLine="1260" w:firstLineChars="600"/>
        <w:rPr>
          <w:rFonts w:hint="eastAsia" w:hAnsi="宋体"/>
        </w:rPr>
      </w:pPr>
      <w:r>
        <w:rPr>
          <w:rFonts w:hint="eastAsia" w:hAnsi="宋体"/>
        </w:rPr>
        <w:t>d.系统维护检查记录。</w:t>
      </w:r>
    </w:p>
    <w:p>
      <w:pPr>
        <w:pStyle w:val="4"/>
        <w:numPr>
          <w:ilvl w:val="0"/>
          <w:numId w:val="0"/>
        </w:numPr>
        <w:tabs>
          <w:tab w:val="left" w:pos="2340"/>
        </w:tabs>
        <w:adjustRightInd w:val="0"/>
        <w:snapToGrid w:val="0"/>
        <w:spacing w:before="156" w:beforeLines="50" w:line="360" w:lineRule="auto"/>
        <w:ind w:left="1260" w:leftChars="400" w:hanging="420" w:hangingChars="200"/>
        <w:rPr>
          <w:rFonts w:hint="eastAsia" w:hAnsi="宋体"/>
        </w:rPr>
      </w:pPr>
      <w:r>
        <w:rPr>
          <w:rFonts w:hint="eastAsia" w:hAnsi="宋体"/>
        </w:rPr>
        <w:t>1</w:t>
      </w:r>
      <w:r>
        <w:rPr>
          <w:rFonts w:hint="eastAsia" w:hAnsi="宋体"/>
          <w:lang w:val="en-US" w:eastAsia="zh-CN"/>
        </w:rPr>
        <w:t>3</w:t>
      </w:r>
      <w:r>
        <w:rPr>
          <w:rFonts w:hint="eastAsia" w:hAnsi="宋体"/>
        </w:rPr>
        <w:t>）开通24小时服务受理热线，故障响应时间</w:t>
      </w:r>
      <w:r>
        <w:rPr>
          <w:rFonts w:hint="eastAsia" w:hAnsi="宋体"/>
          <w:lang w:val="en-US" w:eastAsia="zh-CN"/>
        </w:rPr>
        <w:t>1小时</w:t>
      </w:r>
      <w:r>
        <w:rPr>
          <w:rFonts w:hint="eastAsia" w:hAnsi="宋体"/>
        </w:rPr>
        <w:t>到达现场，普通故障1小时内解决，特殊故障8小时内解决；</w:t>
      </w:r>
    </w:p>
    <w:p>
      <w:pPr>
        <w:pStyle w:val="4"/>
        <w:numPr>
          <w:ilvl w:val="0"/>
          <w:numId w:val="0"/>
        </w:numPr>
        <w:tabs>
          <w:tab w:val="left" w:pos="2340"/>
        </w:tabs>
        <w:adjustRightInd w:val="0"/>
        <w:snapToGrid w:val="0"/>
        <w:spacing w:before="156" w:beforeLines="50" w:line="360" w:lineRule="auto"/>
        <w:ind w:left="1260" w:leftChars="400" w:hanging="420" w:hangingChars="200"/>
        <w:rPr>
          <w:rFonts w:hint="eastAsia" w:hAnsi="宋体"/>
        </w:rPr>
      </w:pPr>
      <w:r>
        <w:rPr>
          <w:rFonts w:hint="eastAsia" w:hAnsi="宋体"/>
          <w:lang w:val="en-US" w:eastAsia="zh-CN"/>
        </w:rPr>
        <w:t>14</w:t>
      </w:r>
      <w:r>
        <w:rPr>
          <w:rFonts w:hint="eastAsia" w:hAnsi="宋体"/>
        </w:rPr>
        <w:t>）提供备品备件以保证系统连续稳定运行；</w:t>
      </w:r>
    </w:p>
    <w:p>
      <w:pPr>
        <w:pStyle w:val="4"/>
        <w:numPr>
          <w:ilvl w:val="0"/>
          <w:numId w:val="0"/>
        </w:numPr>
        <w:tabs>
          <w:tab w:val="left" w:pos="2340"/>
        </w:tabs>
        <w:adjustRightInd w:val="0"/>
        <w:snapToGrid w:val="0"/>
        <w:spacing w:before="156" w:beforeLines="50" w:line="360" w:lineRule="auto"/>
        <w:ind w:left="1260" w:leftChars="400" w:hanging="420" w:hangingChars="200"/>
        <w:rPr>
          <w:rFonts w:hint="eastAsia" w:hAnsi="宋体"/>
        </w:rPr>
      </w:pPr>
      <w:r>
        <w:rPr>
          <w:rFonts w:hint="eastAsia" w:hAnsi="宋体"/>
          <w:lang w:val="en-US" w:eastAsia="zh-CN"/>
        </w:rPr>
        <w:t>15</w:t>
      </w:r>
      <w:r>
        <w:rPr>
          <w:rFonts w:hint="eastAsia" w:hAnsi="宋体"/>
        </w:rPr>
        <w:t>）建立完善的维护保养档案，详实记录系统维护保养及故障处理情况，分析原因，提出建议；</w:t>
      </w:r>
    </w:p>
    <w:p>
      <w:pPr>
        <w:pStyle w:val="4"/>
        <w:numPr>
          <w:ilvl w:val="0"/>
          <w:numId w:val="4"/>
        </w:numPr>
        <w:tabs>
          <w:tab w:val="left" w:pos="2340"/>
        </w:tabs>
        <w:adjustRightInd w:val="0"/>
        <w:snapToGrid w:val="0"/>
        <w:spacing w:before="156" w:beforeLines="50" w:line="360" w:lineRule="auto"/>
        <w:rPr>
          <w:rFonts w:hAnsi="宋体"/>
        </w:rPr>
      </w:pPr>
      <w:r>
        <w:rPr>
          <w:rFonts w:hint="eastAsia" w:ascii="宋体" w:hAnsi="宋体" w:cs="宋体"/>
          <w:szCs w:val="21"/>
        </w:rPr>
        <w:t>质保期内，</w:t>
      </w:r>
      <w:r>
        <w:rPr>
          <w:rFonts w:hint="eastAsia" w:hAnsi="宋体" w:cs="宋体"/>
          <w:szCs w:val="21"/>
          <w:lang w:val="en-US" w:eastAsia="zh-CN"/>
        </w:rPr>
        <w:t>凡有</w:t>
      </w:r>
      <w:r>
        <w:rPr>
          <w:rFonts w:hint="eastAsia" w:hAnsi="宋体"/>
          <w:lang w:val="en-US" w:eastAsia="zh-CN"/>
        </w:rPr>
        <w:t>重要活动可以要求成交人派驻专业人员进行驻点技术支持。</w:t>
      </w:r>
    </w:p>
    <w:p>
      <w:pPr>
        <w:numPr>
          <w:ilvl w:val="0"/>
          <w:numId w:val="4"/>
        </w:numPr>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质保期内，如所供产品因非人为因素出现故障而造成短期停用时，则质保期和免费维修期相应顺延。如停用时间累计超过60天则质保期重新计算。</w:t>
      </w:r>
    </w:p>
    <w:p>
      <w:pPr>
        <w:numPr>
          <w:ilvl w:val="0"/>
          <w:numId w:val="4"/>
        </w:numPr>
        <w:autoSpaceDE w:val="0"/>
        <w:autoSpaceDN w:val="0"/>
        <w:adjustRightInd w:val="0"/>
        <w:snapToGrid w:val="0"/>
        <w:spacing w:before="156" w:beforeLines="50" w:line="360" w:lineRule="auto"/>
        <w:rPr>
          <w:rFonts w:ascii="宋体" w:hAnsi="宋体" w:cs="宋体"/>
          <w:szCs w:val="21"/>
        </w:rPr>
      </w:pPr>
      <w:bookmarkStart w:id="0" w:name="_Hlk37864323"/>
      <w:r>
        <w:rPr>
          <w:rFonts w:hint="eastAsia" w:ascii="宋体" w:hAnsi="宋体" w:cs="宋体"/>
          <w:szCs w:val="21"/>
        </w:rPr>
        <w:t>供应商须随时进行技术支持。同时向用户提供免费培训服务，使其达到完全掌握系统使用方法为止。</w:t>
      </w:r>
    </w:p>
    <w:bookmarkEnd w:id="0"/>
    <w:p>
      <w:pPr>
        <w:pStyle w:val="4"/>
        <w:numPr>
          <w:ilvl w:val="0"/>
          <w:numId w:val="3"/>
        </w:numPr>
        <w:tabs>
          <w:tab w:val="left" w:pos="540"/>
        </w:tabs>
        <w:adjustRightInd w:val="0"/>
        <w:snapToGrid w:val="0"/>
        <w:spacing w:before="156" w:beforeLines="50" w:line="360" w:lineRule="auto"/>
        <w:rPr>
          <w:rFonts w:hAnsi="宋体"/>
          <w:b/>
        </w:rPr>
      </w:pPr>
      <w:r>
        <w:rPr>
          <w:rFonts w:hint="eastAsia" w:hAnsi="宋体"/>
          <w:b/>
        </w:rPr>
        <w:t>交付要求</w:t>
      </w:r>
    </w:p>
    <w:p>
      <w:pPr>
        <w:numPr>
          <w:ilvl w:val="0"/>
          <w:numId w:val="5"/>
        </w:numPr>
        <w:tabs>
          <w:tab w:val="left" w:pos="900"/>
        </w:tabs>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成交人保证所供货的均为原厂商生产的、原装、正版的全新合格产品，且为原生产厂商和中国政府允许在中华人民共和国地区销售的产品。</w:t>
      </w:r>
    </w:p>
    <w:p>
      <w:pPr>
        <w:numPr>
          <w:ilvl w:val="0"/>
          <w:numId w:val="5"/>
        </w:numPr>
        <w:tabs>
          <w:tab w:val="left" w:pos="900"/>
        </w:tabs>
        <w:autoSpaceDE w:val="0"/>
        <w:autoSpaceDN w:val="0"/>
        <w:adjustRightInd w:val="0"/>
        <w:snapToGrid w:val="0"/>
        <w:spacing w:before="156" w:beforeLines="50" w:line="360" w:lineRule="auto"/>
        <w:rPr>
          <w:rFonts w:ascii="宋体" w:hAnsi="宋体" w:cs="宋体"/>
          <w:szCs w:val="21"/>
        </w:rPr>
      </w:pPr>
      <w:r>
        <w:rPr>
          <w:rFonts w:hint="eastAsia" w:ascii="宋体" w:hAnsi="宋体" w:cs="宋体"/>
          <w:szCs w:val="21"/>
        </w:rPr>
        <w:t>成交人应将系统的授权文件、用户手册、有关单证资料等交付给采购人。</w:t>
      </w:r>
    </w:p>
    <w:p>
      <w:pPr>
        <w:pStyle w:val="4"/>
        <w:numPr>
          <w:ilvl w:val="0"/>
          <w:numId w:val="3"/>
        </w:numPr>
        <w:tabs>
          <w:tab w:val="left" w:pos="540"/>
        </w:tabs>
        <w:adjustRightInd w:val="0"/>
        <w:snapToGrid w:val="0"/>
        <w:spacing w:before="156" w:beforeLines="50" w:line="360" w:lineRule="auto"/>
        <w:rPr>
          <w:rFonts w:hAnsi="宋体"/>
          <w:b/>
        </w:rPr>
      </w:pPr>
      <w:r>
        <w:rPr>
          <w:rFonts w:hint="eastAsia" w:hAnsi="宋体"/>
          <w:b/>
        </w:rPr>
        <w:t>安装、部署与验收</w:t>
      </w:r>
    </w:p>
    <w:p>
      <w:pPr>
        <w:tabs>
          <w:tab w:val="left" w:pos="900"/>
        </w:tabs>
        <w:autoSpaceDE w:val="0"/>
        <w:autoSpaceDN w:val="0"/>
        <w:adjustRightInd w:val="0"/>
        <w:snapToGrid w:val="0"/>
        <w:spacing w:before="156" w:beforeLines="50" w:line="360" w:lineRule="auto"/>
        <w:ind w:left="425"/>
        <w:rPr>
          <w:rFonts w:ascii="宋体" w:hAnsi="宋体" w:cs="宋体"/>
          <w:szCs w:val="21"/>
        </w:rPr>
      </w:pPr>
      <w:r>
        <w:rPr>
          <w:rFonts w:hint="eastAsia" w:ascii="宋体" w:hAnsi="宋体" w:cs="宋体"/>
          <w:szCs w:val="21"/>
        </w:rPr>
        <w:t>1、采购人组成验收小组按国家有关规定、规范进行验收，必要时邀请相关的专业人员或机构参与验收。</w:t>
      </w:r>
    </w:p>
    <w:p>
      <w:pPr>
        <w:tabs>
          <w:tab w:val="left" w:pos="900"/>
        </w:tabs>
        <w:autoSpaceDE w:val="0"/>
        <w:autoSpaceDN w:val="0"/>
        <w:adjustRightInd w:val="0"/>
        <w:snapToGrid w:val="0"/>
        <w:spacing w:before="156" w:beforeLines="50" w:line="360" w:lineRule="auto"/>
        <w:ind w:left="425"/>
        <w:rPr>
          <w:rFonts w:ascii="宋体" w:hAnsi="宋体" w:cs="宋体"/>
          <w:szCs w:val="21"/>
        </w:rPr>
      </w:pPr>
      <w:r>
        <w:rPr>
          <w:rFonts w:eastAsia="仿宋_GB2312"/>
          <w:color w:val="000000"/>
          <w:sz w:val="24"/>
        </w:rPr>
        <w:t>2</w:t>
      </w:r>
      <w:r>
        <w:rPr>
          <w:rFonts w:hint="eastAsia" w:eastAsia="仿宋_GB2312"/>
          <w:color w:val="000000"/>
          <w:sz w:val="24"/>
        </w:rPr>
        <w:t>、</w:t>
      </w:r>
      <w:r>
        <w:rPr>
          <w:rFonts w:ascii="宋体" w:hAnsi="宋体" w:cs="宋体"/>
          <w:szCs w:val="21"/>
        </w:rPr>
        <w:t>如果产品验收不合格或经计量不合格的，需方有权作更换或退货处理，并由供方承担全部费用（包括运输、计量、服务费等）</w:t>
      </w:r>
    </w:p>
    <w:p>
      <w:pPr>
        <w:pStyle w:val="11"/>
        <w:numPr>
          <w:ilvl w:val="0"/>
          <w:numId w:val="1"/>
        </w:numPr>
        <w:spacing w:before="156" w:beforeLines="50" w:line="360" w:lineRule="auto"/>
        <w:ind w:left="448" w:hanging="448" w:firstLineChars="0"/>
        <w:rPr>
          <w:rFonts w:ascii="宋体" w:hAnsi="宋体" w:cs="宋体"/>
          <w:b/>
          <w:bCs/>
          <w:szCs w:val="21"/>
        </w:rPr>
      </w:pPr>
      <w:r>
        <w:rPr>
          <w:rFonts w:hint="eastAsia" w:ascii="宋体" w:hAnsi="宋体" w:cs="宋体"/>
          <w:b/>
          <w:bCs/>
          <w:szCs w:val="21"/>
        </w:rPr>
        <w:t>付款方式</w:t>
      </w:r>
    </w:p>
    <w:p>
      <w:pPr>
        <w:adjustRightInd w:val="0"/>
        <w:snapToGrid w:val="0"/>
        <w:spacing w:line="360" w:lineRule="auto"/>
        <w:ind w:firstLine="315" w:firstLineChars="150"/>
        <w:rPr>
          <w:rFonts w:ascii="宋体" w:hAnsi="宋体" w:cs="宋体"/>
          <w:szCs w:val="21"/>
        </w:rPr>
      </w:pPr>
      <w:r>
        <w:rPr>
          <w:rFonts w:hint="eastAsia" w:ascii="宋体" w:hAnsi="宋体" w:cs="宋体"/>
          <w:szCs w:val="21"/>
        </w:rPr>
        <w:t>在到货并验收合格、需方收到供方开具的采购合同总价的发票后，需方在</w:t>
      </w:r>
      <w:r>
        <w:rPr>
          <w:rFonts w:ascii="宋体" w:hAnsi="宋体" w:cs="宋体"/>
          <w:szCs w:val="21"/>
        </w:rPr>
        <w:t>15</w:t>
      </w:r>
      <w:r>
        <w:rPr>
          <w:rFonts w:hint="eastAsia" w:ascii="宋体" w:hAnsi="宋体" w:cs="宋体"/>
          <w:szCs w:val="21"/>
        </w:rPr>
        <w:t>个工作日内以支票或银行汇款（含电汇）的形式支付采购合同单总价款项</w:t>
      </w:r>
    </w:p>
    <w:p>
      <w:pPr>
        <w:adjustRightInd w:val="0"/>
        <w:snapToGrid w:val="0"/>
        <w:spacing w:line="360" w:lineRule="auto"/>
        <w:ind w:firstLine="315" w:firstLineChars="150"/>
        <w:rPr>
          <w:rFonts w:ascii="宋体" w:hAnsi="宋体" w:cs="宋体"/>
          <w:szCs w:val="21"/>
        </w:rPr>
        <w:sectPr>
          <w:pgSz w:w="11906" w:h="16838"/>
          <w:pgMar w:top="1134" w:right="850" w:bottom="1134" w:left="850" w:header="851" w:footer="992" w:gutter="0"/>
          <w:cols w:space="720" w:num="1"/>
          <w:docGrid w:type="lines" w:linePitch="312" w:charSpace="0"/>
        </w:sectPr>
      </w:pPr>
    </w:p>
    <w:p>
      <w:pPr>
        <w:adjustRightInd w:val="0"/>
        <w:snapToGrid w:val="0"/>
        <w:spacing w:line="360" w:lineRule="auto"/>
        <w:ind w:firstLine="315" w:firstLineChars="150"/>
        <w:rPr>
          <w:rFonts w:ascii="宋体" w:hAnsi="宋体" w:cs="宋体"/>
          <w:szCs w:val="21"/>
        </w:rPr>
      </w:pPr>
    </w:p>
    <w:p>
      <w:pPr>
        <w:keepNext/>
        <w:keepLines/>
        <w:spacing w:line="360" w:lineRule="auto"/>
        <w:outlineLvl w:val="1"/>
        <w:rPr>
          <w:rFonts w:ascii="宋体" w:hAnsi="宋体"/>
          <w:b/>
          <w:bCs/>
          <w:sz w:val="32"/>
          <w:szCs w:val="32"/>
        </w:rPr>
      </w:pPr>
      <w:r>
        <w:rPr>
          <w:rFonts w:hint="eastAsia" w:ascii="宋体" w:hAnsi="宋体"/>
          <w:b/>
          <w:bCs/>
          <w:sz w:val="24"/>
        </w:rPr>
        <w:t xml:space="preserve">附件2： </w:t>
      </w:r>
      <w:r>
        <w:rPr>
          <w:rFonts w:hint="eastAsia" w:ascii="宋体" w:hAnsi="宋体"/>
          <w:b/>
          <w:bCs/>
          <w:sz w:val="32"/>
          <w:szCs w:val="32"/>
        </w:rPr>
        <w:t xml:space="preserve">                 报 价 表</w:t>
      </w:r>
    </w:p>
    <w:tbl>
      <w:tblPr>
        <w:tblStyle w:val="9"/>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10"/>
        <w:gridCol w:w="992"/>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jc w:val="center"/>
              <w:rPr>
                <w:rFonts w:ascii="宋体" w:hAnsi="宋体"/>
                <w:b/>
                <w:bCs/>
                <w:szCs w:val="21"/>
              </w:rPr>
            </w:pPr>
            <w:r>
              <w:rPr>
                <w:rFonts w:ascii="宋体" w:hAnsi="宋体"/>
                <w:b/>
                <w:bCs/>
                <w:szCs w:val="21"/>
              </w:rPr>
              <w:t>序号</w:t>
            </w:r>
          </w:p>
        </w:tc>
        <w:tc>
          <w:tcPr>
            <w:tcW w:w="2410" w:type="dxa"/>
            <w:shd w:val="clear" w:color="auto" w:fill="auto"/>
            <w:vAlign w:val="center"/>
          </w:tcPr>
          <w:p>
            <w:pPr>
              <w:jc w:val="center"/>
              <w:rPr>
                <w:rFonts w:ascii="宋体" w:hAnsi="宋体"/>
                <w:b/>
                <w:bCs/>
                <w:szCs w:val="21"/>
              </w:rPr>
            </w:pPr>
            <w:r>
              <w:rPr>
                <w:rFonts w:hint="eastAsia" w:ascii="宋体" w:hAnsi="宋体"/>
                <w:b/>
                <w:bCs/>
                <w:szCs w:val="21"/>
              </w:rPr>
              <w:t>采购内容</w:t>
            </w:r>
          </w:p>
        </w:tc>
        <w:tc>
          <w:tcPr>
            <w:tcW w:w="992" w:type="dxa"/>
            <w:shd w:val="clear" w:color="auto" w:fill="auto"/>
            <w:vAlign w:val="center"/>
          </w:tcPr>
          <w:p>
            <w:pPr>
              <w:jc w:val="center"/>
              <w:rPr>
                <w:rFonts w:ascii="宋体" w:hAnsi="宋体"/>
                <w:b/>
                <w:bCs/>
                <w:szCs w:val="21"/>
              </w:rPr>
            </w:pPr>
            <w:r>
              <w:rPr>
                <w:rFonts w:hint="eastAsia" w:ascii="宋体" w:hAnsi="宋体"/>
                <w:b/>
                <w:bCs/>
                <w:szCs w:val="21"/>
              </w:rPr>
              <w:t>数量</w:t>
            </w:r>
          </w:p>
        </w:tc>
        <w:tc>
          <w:tcPr>
            <w:tcW w:w="1843" w:type="dxa"/>
            <w:shd w:val="clear" w:color="auto" w:fill="auto"/>
            <w:vAlign w:val="center"/>
          </w:tcPr>
          <w:p>
            <w:pPr>
              <w:jc w:val="center"/>
              <w:rPr>
                <w:rFonts w:ascii="宋体" w:hAnsi="宋体"/>
                <w:b/>
                <w:bCs/>
                <w:szCs w:val="21"/>
              </w:rPr>
            </w:pPr>
            <w:r>
              <w:rPr>
                <w:rFonts w:hint="eastAsia" w:ascii="宋体" w:hAnsi="宋体"/>
                <w:b/>
                <w:bCs/>
                <w:szCs w:val="21"/>
              </w:rPr>
              <w:t>报价</w:t>
            </w:r>
          </w:p>
          <w:p>
            <w:pPr>
              <w:jc w:val="center"/>
              <w:rPr>
                <w:rFonts w:ascii="宋体" w:hAnsi="宋体"/>
                <w:b/>
                <w:bCs/>
                <w:szCs w:val="21"/>
              </w:rPr>
            </w:pPr>
            <w:r>
              <w:rPr>
                <w:rFonts w:hint="eastAsia" w:ascii="宋体" w:hAnsi="宋体"/>
                <w:b/>
                <w:bCs/>
                <w:szCs w:val="21"/>
              </w:rPr>
              <w:t>（人民币元）</w:t>
            </w:r>
          </w:p>
        </w:tc>
        <w:tc>
          <w:tcPr>
            <w:tcW w:w="1984" w:type="dxa"/>
            <w:shd w:val="clear" w:color="auto" w:fill="auto"/>
            <w:vAlign w:val="center"/>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46" w:type="dxa"/>
            <w:shd w:val="clear" w:color="auto" w:fill="auto"/>
            <w:vAlign w:val="center"/>
          </w:tcPr>
          <w:p>
            <w:pPr>
              <w:spacing w:before="156" w:beforeLines="50" w:line="360" w:lineRule="auto"/>
              <w:jc w:val="center"/>
              <w:rPr>
                <w:rFonts w:ascii="宋体" w:hAnsi="宋体"/>
                <w:szCs w:val="21"/>
              </w:rPr>
            </w:pPr>
            <w:r>
              <w:rPr>
                <w:rFonts w:hint="eastAsia" w:ascii="宋体" w:hAnsi="宋体"/>
                <w:szCs w:val="21"/>
              </w:rPr>
              <w:t>1</w:t>
            </w:r>
          </w:p>
        </w:tc>
        <w:tc>
          <w:tcPr>
            <w:tcW w:w="2410" w:type="dxa"/>
            <w:shd w:val="clear" w:color="auto" w:fill="auto"/>
            <w:vAlign w:val="center"/>
          </w:tcPr>
          <w:p>
            <w:pPr>
              <w:spacing w:before="156" w:beforeLines="50" w:line="360" w:lineRule="auto"/>
              <w:jc w:val="center"/>
              <w:rPr>
                <w:rFonts w:ascii="宋体" w:hAnsi="宋体"/>
                <w:szCs w:val="21"/>
              </w:rPr>
            </w:pPr>
            <w:r>
              <w:rPr>
                <w:rFonts w:hint="eastAsia" w:ascii="宋体" w:hAnsi="宋体"/>
                <w:szCs w:val="21"/>
              </w:rPr>
              <w:t>多媒体音响系统项目</w:t>
            </w:r>
          </w:p>
        </w:tc>
        <w:tc>
          <w:tcPr>
            <w:tcW w:w="992" w:type="dxa"/>
            <w:shd w:val="clear" w:color="auto" w:fill="auto"/>
            <w:vAlign w:val="center"/>
          </w:tcPr>
          <w:p>
            <w:pPr>
              <w:jc w:val="center"/>
              <w:rPr>
                <w:rFonts w:ascii="宋体" w:hAnsi="宋体"/>
                <w:szCs w:val="21"/>
              </w:rPr>
            </w:pPr>
            <w:r>
              <w:rPr>
                <w:rFonts w:ascii="宋体" w:hAnsi="宋体"/>
                <w:szCs w:val="21"/>
              </w:rPr>
              <w:t>1</w:t>
            </w:r>
          </w:p>
        </w:tc>
        <w:tc>
          <w:tcPr>
            <w:tcW w:w="1843" w:type="dxa"/>
            <w:shd w:val="clear" w:color="auto" w:fill="auto"/>
            <w:vAlign w:val="center"/>
          </w:tcPr>
          <w:p>
            <w:pPr>
              <w:jc w:val="center"/>
              <w:rPr>
                <w:rFonts w:ascii="宋体" w:hAnsi="宋体"/>
                <w:b/>
                <w:bCs/>
                <w:szCs w:val="21"/>
              </w:rPr>
            </w:pPr>
          </w:p>
        </w:tc>
        <w:tc>
          <w:tcPr>
            <w:tcW w:w="1984" w:type="dxa"/>
            <w:shd w:val="clear" w:color="auto" w:fill="auto"/>
            <w:vAlign w:val="center"/>
          </w:tcPr>
          <w:p>
            <w:pPr>
              <w:jc w:val="center"/>
              <w:rPr>
                <w:rFonts w:ascii="宋体" w:hAnsi="宋体"/>
                <w:b/>
                <w:bCs/>
                <w:szCs w:val="21"/>
              </w:rPr>
            </w:pPr>
          </w:p>
        </w:tc>
      </w:tr>
    </w:tbl>
    <w:p>
      <w:pPr>
        <w:spacing w:line="360" w:lineRule="auto"/>
        <w:rPr>
          <w:rFonts w:ascii="宋体" w:hAnsi="宋体"/>
          <w:bCs/>
          <w:sz w:val="30"/>
          <w:szCs w:val="30"/>
        </w:rPr>
      </w:pPr>
      <w:r>
        <w:rPr>
          <w:rFonts w:hint="eastAsia" w:ascii="宋体" w:hAnsi="宋体"/>
          <w:bCs/>
          <w:sz w:val="30"/>
          <w:szCs w:val="30"/>
        </w:rPr>
        <w:t>联系人</w:t>
      </w:r>
      <w:r>
        <w:rPr>
          <w:rFonts w:ascii="宋体" w:hAnsi="宋体"/>
          <w:bCs/>
          <w:sz w:val="30"/>
          <w:szCs w:val="30"/>
        </w:rPr>
        <w:t>：</w:t>
      </w:r>
      <w:r>
        <w:rPr>
          <w:rFonts w:hint="eastAsia" w:ascii="宋体" w:hAnsi="宋体"/>
          <w:bCs/>
          <w:sz w:val="30"/>
          <w:szCs w:val="30"/>
        </w:rPr>
        <w:t xml:space="preserve">                         联系</w:t>
      </w:r>
      <w:r>
        <w:rPr>
          <w:rFonts w:ascii="宋体" w:hAnsi="宋体"/>
          <w:bCs/>
          <w:sz w:val="30"/>
          <w:szCs w:val="30"/>
        </w:rPr>
        <w:t>电话：</w:t>
      </w:r>
    </w:p>
    <w:p>
      <w:pPr>
        <w:spacing w:line="360" w:lineRule="auto"/>
        <w:rPr>
          <w:rFonts w:ascii="宋体" w:hAnsi="宋体"/>
          <w:b/>
          <w:spacing w:val="4"/>
          <w:szCs w:val="21"/>
        </w:rPr>
      </w:pPr>
      <w:r>
        <w:rPr>
          <w:rFonts w:hint="eastAsia" w:ascii="宋体" w:hAnsi="宋体"/>
          <w:b/>
          <w:spacing w:val="4"/>
          <w:szCs w:val="21"/>
        </w:rPr>
        <w:t>注：</w:t>
      </w:r>
    </w:p>
    <w:p>
      <w:pPr>
        <w:pStyle w:val="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所有价格均系用人民币表示，单位为元，均为含税价；</w:t>
      </w:r>
    </w:p>
    <w:p>
      <w:pPr>
        <w:pStyle w:val="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平台上报价与报价表合计不一致的，以报价表合计（经价格核准后的价格）为准</w:t>
      </w:r>
    </w:p>
    <w:p>
      <w:pPr>
        <w:pStyle w:val="8"/>
        <w:numPr>
          <w:ilvl w:val="0"/>
          <w:numId w:val="6"/>
        </w:numPr>
        <w:shd w:val="clear" w:color="auto" w:fill="FFFFFF"/>
        <w:spacing w:before="0" w:beforeAutospacing="0" w:after="0" w:afterAutospacing="0" w:line="276" w:lineRule="auto"/>
        <w:rPr>
          <w:rFonts w:cs="Times New Roman"/>
          <w:b/>
          <w:spacing w:val="4"/>
          <w:kern w:val="2"/>
          <w:sz w:val="21"/>
          <w:szCs w:val="21"/>
        </w:rPr>
      </w:pPr>
      <w:r>
        <w:rPr>
          <w:rFonts w:hint="eastAsia" w:cs="Times New Roman"/>
          <w:b/>
          <w:spacing w:val="4"/>
          <w:kern w:val="2"/>
          <w:sz w:val="21"/>
          <w:szCs w:val="21"/>
        </w:rPr>
        <w:t>报价表必须加盖单位公章，否则视为无效报价。</w:t>
      </w:r>
    </w:p>
    <w:p>
      <w:pPr>
        <w:spacing w:line="500" w:lineRule="exact"/>
        <w:rPr>
          <w:rFonts w:ascii="宋体" w:hAnsi="宋体"/>
          <w:spacing w:val="4"/>
          <w:szCs w:val="21"/>
        </w:rPr>
      </w:pPr>
    </w:p>
    <w:p>
      <w:pPr>
        <w:spacing w:line="500" w:lineRule="exact"/>
        <w:rPr>
          <w:rFonts w:ascii="宋体" w:hAnsi="宋体"/>
          <w:spacing w:val="4"/>
          <w:szCs w:val="21"/>
        </w:rPr>
      </w:pPr>
      <w:r>
        <w:rPr>
          <w:rFonts w:hint="eastAsia" w:ascii="宋体" w:hAnsi="宋体"/>
          <w:spacing w:val="4"/>
          <w:szCs w:val="21"/>
        </w:rPr>
        <w:t>供应商名称（</w:t>
      </w:r>
      <w:r>
        <w:rPr>
          <w:rFonts w:hint="eastAsia" w:ascii="宋体" w:hAnsi="宋体"/>
          <w:szCs w:val="21"/>
        </w:rPr>
        <w:t>单位盖</w:t>
      </w:r>
      <w:r>
        <w:rPr>
          <w:rFonts w:hint="eastAsia" w:ascii="宋体" w:hAnsi="宋体"/>
          <w:spacing w:val="4"/>
          <w:szCs w:val="21"/>
        </w:rPr>
        <w:t>公章）：</w:t>
      </w:r>
    </w:p>
    <w:p>
      <w:pPr>
        <w:spacing w:line="500" w:lineRule="exact"/>
        <w:rPr>
          <w:rFonts w:ascii="宋体" w:hAnsi="宋体"/>
          <w:szCs w:val="21"/>
          <w:u w:val="single"/>
        </w:rPr>
      </w:pPr>
      <w:r>
        <w:rPr>
          <w:rFonts w:hint="eastAsia" w:ascii="宋体" w:hAnsi="宋体"/>
          <w:spacing w:val="4"/>
          <w:szCs w:val="21"/>
        </w:rPr>
        <w:t>日期：</w:t>
      </w:r>
    </w:p>
    <w:p>
      <w:pPr>
        <w:keepNext/>
        <w:keepLines/>
        <w:spacing w:before="260" w:after="260" w:line="416" w:lineRule="auto"/>
        <w:outlineLvl w:val="1"/>
        <w:rPr>
          <w:rFonts w:ascii="宋体" w:hAnsi="宋体" w:cs="Cambria"/>
          <w:b/>
          <w:bCs/>
          <w:sz w:val="32"/>
          <w:szCs w:val="32"/>
        </w:rPr>
      </w:pPr>
      <w:r>
        <w:rPr>
          <w:rFonts w:ascii="宋体" w:hAnsi="宋体"/>
          <w:b/>
          <w:bCs/>
        </w:rPr>
        <w:br w:type="page"/>
      </w:r>
      <w:r>
        <w:rPr>
          <w:rFonts w:hint="eastAsia" w:ascii="宋体" w:hAnsi="宋体"/>
          <w:b/>
          <w:bCs/>
        </w:rPr>
        <w:t xml:space="preserve">附件3：                    </w:t>
      </w:r>
      <w:r>
        <w:rPr>
          <w:rFonts w:hint="eastAsia" w:ascii="宋体" w:hAnsi="宋体"/>
          <w:b/>
          <w:bCs/>
          <w:sz w:val="32"/>
          <w:szCs w:val="32"/>
        </w:rPr>
        <w:t>用户需求书响应声明函</w:t>
      </w:r>
    </w:p>
    <w:p>
      <w:pPr>
        <w:autoSpaceDE w:val="0"/>
        <w:autoSpaceDN w:val="0"/>
        <w:adjustRightInd w:val="0"/>
        <w:spacing w:before="240" w:after="312" w:afterLines="100" w:line="360" w:lineRule="auto"/>
        <w:jc w:val="left"/>
        <w:rPr>
          <w:rFonts w:ascii="宋体" w:hAnsi="宋体"/>
          <w:b/>
          <w:kern w:val="0"/>
          <w:szCs w:val="21"/>
        </w:rPr>
      </w:pPr>
      <w:bookmarkStart w:id="1" w:name="_Hlk37864362"/>
      <w:r>
        <w:rPr>
          <w:rFonts w:hint="eastAsia" w:ascii="宋体" w:hAnsi="宋体"/>
          <w:b/>
          <w:kern w:val="0"/>
          <w:szCs w:val="21"/>
        </w:rPr>
        <w:t>致</w:t>
      </w:r>
      <w:r>
        <w:rPr>
          <w:rFonts w:hint="eastAsia" w:ascii="宋体" w:hAnsi="宋体"/>
          <w:b/>
          <w:szCs w:val="21"/>
        </w:rPr>
        <w:t>：广东省特种设备检测研究院江门</w:t>
      </w:r>
      <w:r>
        <w:rPr>
          <w:rFonts w:ascii="宋体" w:hAnsi="宋体"/>
          <w:b/>
          <w:szCs w:val="21"/>
        </w:rPr>
        <w:t>检测院</w:t>
      </w:r>
      <w:r>
        <w:rPr>
          <w:rFonts w:hint="eastAsia" w:ascii="宋体" w:hAnsi="宋体"/>
          <w:b/>
          <w:szCs w:val="21"/>
        </w:rPr>
        <w:t>：</w:t>
      </w:r>
    </w:p>
    <w:bookmarkEnd w:id="1"/>
    <w:p>
      <w:pPr>
        <w:tabs>
          <w:tab w:val="left" w:pos="6237"/>
        </w:tabs>
        <w:snapToGrid w:val="0"/>
        <w:spacing w:line="600" w:lineRule="auto"/>
        <w:ind w:firstLine="420" w:firstLineChars="200"/>
        <w:rPr>
          <w:rFonts w:ascii="宋体" w:hAnsi="宋体"/>
          <w:szCs w:val="21"/>
        </w:rPr>
      </w:pPr>
      <w:r>
        <w:rPr>
          <w:rFonts w:hint="eastAsia" w:ascii="宋体" w:hAnsi="宋体" w:cs="宋体"/>
          <w:szCs w:val="21"/>
        </w:rPr>
        <w:t>关于贵单位、贵司发布</w:t>
      </w:r>
      <w:r>
        <w:rPr>
          <w:rFonts w:hint="eastAsia" w:ascii="宋体" w:hAnsi="宋体"/>
          <w:szCs w:val="21"/>
        </w:rPr>
        <w:t>多媒体音响系统项目</w:t>
      </w:r>
      <w:r>
        <w:rPr>
          <w:rFonts w:hint="eastAsia" w:ascii="宋体" w:hAnsi="宋体" w:cs="宋体"/>
          <w:szCs w:val="21"/>
        </w:rPr>
        <w:t>的招标公告，本公司（企业）愿意参加采购活动，并作出如下声明：</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widowControl/>
        <w:jc w:val="left"/>
        <w:rPr>
          <w:rFonts w:ascii="宋体" w:hAnsi="宋体"/>
          <w:b/>
          <w:bCs/>
          <w:kern w:val="0"/>
          <w:sz w:val="32"/>
          <w:szCs w:val="32"/>
        </w:rPr>
      </w:pPr>
    </w:p>
    <w:p>
      <w:pPr>
        <w:wordWrap w:val="0"/>
        <w:spacing w:line="500" w:lineRule="exact"/>
        <w:jc w:val="right"/>
        <w:rPr>
          <w:rFonts w:ascii="宋体" w:hAnsi="宋体"/>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p>
    <w:p>
      <w:pPr>
        <w:spacing w:line="500" w:lineRule="exact"/>
        <w:ind w:right="420" w:firstLine="7957" w:firstLineChars="3650"/>
        <w:rPr>
          <w:rFonts w:ascii="宋体" w:hAnsi="宋体"/>
          <w:szCs w:val="21"/>
          <w:u w:val="single"/>
        </w:rPr>
      </w:pPr>
      <w:r>
        <w:rPr>
          <w:rFonts w:hint="eastAsia" w:ascii="宋体" w:hAnsi="宋体" w:cs="宋体"/>
          <w:spacing w:val="4"/>
          <w:szCs w:val="21"/>
        </w:rPr>
        <w:t>日期：</w:t>
      </w:r>
    </w:p>
    <w:p>
      <w:pPr>
        <w:keepNext/>
        <w:keepLines/>
        <w:spacing w:line="360" w:lineRule="auto"/>
        <w:outlineLvl w:val="1"/>
        <w:rPr>
          <w:rFonts w:ascii="宋体" w:hAnsi="宋体"/>
          <w:szCs w:val="21"/>
        </w:rPr>
      </w:pPr>
    </w:p>
    <w:p>
      <w:pPr>
        <w:pStyle w:val="2"/>
        <w:spacing w:before="0" w:after="0"/>
        <w:jc w:val="center"/>
        <w:rPr>
          <w:rFonts w:ascii="宋体" w:hAnsi="宋体" w:eastAsia="宋体" w:cs="宋体"/>
          <w:spacing w:val="4"/>
          <w:szCs w:val="21"/>
          <w:u w:val="single"/>
        </w:rPr>
      </w:pPr>
    </w:p>
    <w:p>
      <w:pPr>
        <w:pStyle w:val="2"/>
        <w:adjustRightInd w:val="0"/>
        <w:snapToGrid w:val="0"/>
        <w:spacing w:before="156" w:beforeLines="50" w:after="0" w:line="360" w:lineRule="auto"/>
        <w:rPr>
          <w:rFonts w:ascii="宋体" w:hAnsi="宋体" w:eastAsia="宋体"/>
        </w:rPr>
      </w:pPr>
      <w:r>
        <w:rPr>
          <w:rFonts w:ascii="宋体" w:hAnsi="宋体" w:eastAsia="宋体" w:cs="宋体"/>
          <w:szCs w:val="21"/>
        </w:rPr>
        <w:br w:type="page"/>
      </w:r>
      <w:r>
        <w:rPr>
          <w:rFonts w:hint="eastAsia" w:ascii="宋体" w:hAnsi="宋体" w:eastAsia="宋体" w:cs="宋体"/>
          <w:sz w:val="24"/>
          <w:szCs w:val="24"/>
        </w:rPr>
        <w:t>附件4：</w:t>
      </w:r>
      <w:r>
        <w:rPr>
          <w:rFonts w:hint="eastAsia" w:ascii="宋体" w:hAnsi="宋体" w:eastAsia="宋体"/>
        </w:rPr>
        <w:t>承诺函</w:t>
      </w:r>
    </w:p>
    <w:p>
      <w:pPr>
        <w:autoSpaceDE w:val="0"/>
        <w:autoSpaceDN w:val="0"/>
        <w:adjustRightInd w:val="0"/>
        <w:spacing w:before="240" w:after="312" w:afterLines="100" w:line="360" w:lineRule="auto"/>
        <w:jc w:val="left"/>
        <w:rPr>
          <w:rFonts w:ascii="宋体" w:hAnsi="宋体"/>
          <w:b/>
          <w:kern w:val="0"/>
          <w:szCs w:val="21"/>
        </w:rPr>
      </w:pPr>
      <w:r>
        <w:rPr>
          <w:rFonts w:hint="eastAsia" w:ascii="宋体" w:hAnsi="宋体"/>
          <w:b/>
          <w:kern w:val="0"/>
          <w:szCs w:val="21"/>
        </w:rPr>
        <w:t>致</w:t>
      </w:r>
      <w:r>
        <w:rPr>
          <w:rFonts w:hint="eastAsia" w:ascii="宋体" w:hAnsi="宋体"/>
          <w:b/>
          <w:szCs w:val="21"/>
        </w:rPr>
        <w:t>：广东省特种设备检测研究院江门</w:t>
      </w:r>
      <w:r>
        <w:rPr>
          <w:rFonts w:ascii="宋体" w:hAnsi="宋体"/>
          <w:b/>
          <w:szCs w:val="21"/>
        </w:rPr>
        <w:t>检测院</w:t>
      </w:r>
      <w:r>
        <w:rPr>
          <w:rFonts w:hint="eastAsia" w:ascii="宋体" w:hAnsi="宋体"/>
          <w:b/>
          <w:szCs w:val="21"/>
        </w:rPr>
        <w:t>：</w:t>
      </w:r>
    </w:p>
    <w:p>
      <w:pPr>
        <w:snapToGrid w:val="0"/>
        <w:spacing w:before="156" w:beforeLines="50" w:line="360" w:lineRule="auto"/>
        <w:ind w:firstLine="525" w:firstLineChars="250"/>
        <w:rPr>
          <w:rFonts w:ascii="宋体" w:hAnsi="宋体"/>
          <w:szCs w:val="21"/>
        </w:rPr>
      </w:pPr>
      <w:r>
        <w:rPr>
          <w:rFonts w:hint="eastAsia" w:ascii="宋体" w:hAnsi="宋体" w:cs="宋体"/>
          <w:szCs w:val="21"/>
        </w:rPr>
        <w:t>关于贵单位、贵司</w:t>
      </w:r>
      <w:r>
        <w:rPr>
          <w:rFonts w:hint="eastAsia" w:ascii="宋体" w:hAnsi="宋体"/>
          <w:szCs w:val="21"/>
        </w:rPr>
        <w:t>发布多媒体音响系统项目的招标公告，本公司（企业）愿意参加竞价，并承诺：</w:t>
      </w:r>
    </w:p>
    <w:p>
      <w:pPr>
        <w:snapToGrid w:val="0"/>
        <w:spacing w:before="156" w:beforeLines="50" w:line="360" w:lineRule="auto"/>
        <w:ind w:firstLine="525" w:firstLineChars="250"/>
        <w:rPr>
          <w:rFonts w:ascii="宋体" w:hAnsi="宋体" w:cs="宋体"/>
          <w:szCs w:val="21"/>
        </w:rPr>
      </w:pPr>
      <w:r>
        <w:rPr>
          <w:rFonts w:hint="eastAsia" w:ascii="宋体" w:hAnsi="宋体" w:cs="宋体"/>
          <w:szCs w:val="21"/>
        </w:rPr>
        <w:t>本公司（企业）在本项目中会随时进行技术支持。同时向用户提供免费安装服务，使其达到完全掌握系统的使用方法为止。</w:t>
      </w:r>
    </w:p>
    <w:p>
      <w:pPr>
        <w:snapToGrid w:val="0"/>
        <w:spacing w:before="156" w:beforeLines="50" w:line="360" w:lineRule="auto"/>
        <w:ind w:firstLine="525" w:firstLineChars="250"/>
        <w:rPr>
          <w:rFonts w:ascii="宋体" w:hAnsi="宋体" w:cs="宋体"/>
          <w:szCs w:val="21"/>
        </w:rPr>
      </w:pPr>
      <w:r>
        <w:rPr>
          <w:rFonts w:hint="eastAsia" w:ascii="宋体" w:hAnsi="宋体" w:cs="宋体"/>
          <w:szCs w:val="21"/>
        </w:rPr>
        <w:t>否则，由此所造成的损失、不良后果及法律责任，一律由我公司（企业）承担。</w:t>
      </w:r>
    </w:p>
    <w:p>
      <w:pPr>
        <w:spacing w:before="156" w:beforeLines="50" w:line="360" w:lineRule="auto"/>
        <w:rPr>
          <w:rFonts w:ascii="宋体" w:hAnsi="宋体"/>
          <w:szCs w:val="21"/>
        </w:rPr>
      </w:pPr>
    </w:p>
    <w:p>
      <w:pPr>
        <w:spacing w:before="156" w:beforeLines="50" w:line="360" w:lineRule="auto"/>
        <w:ind w:firstLine="420"/>
        <w:rPr>
          <w:rFonts w:ascii="宋体" w:hAnsi="宋体"/>
          <w:szCs w:val="21"/>
        </w:rPr>
      </w:pPr>
    </w:p>
    <w:p>
      <w:pPr>
        <w:spacing w:before="156" w:beforeLines="50" w:line="360" w:lineRule="auto"/>
        <w:ind w:firstLine="420"/>
        <w:rPr>
          <w:rFonts w:ascii="宋体" w:hAnsi="宋体"/>
          <w:szCs w:val="21"/>
          <w:u w:val="single"/>
        </w:rPr>
      </w:pPr>
      <w:r>
        <w:rPr>
          <w:rFonts w:hint="eastAsia" w:ascii="宋体" w:hAnsi="宋体"/>
          <w:szCs w:val="21"/>
        </w:rPr>
        <w:t>单位名称：</w:t>
      </w:r>
    </w:p>
    <w:p>
      <w:pPr>
        <w:spacing w:before="156" w:beforeLines="50" w:line="360" w:lineRule="auto"/>
        <w:ind w:firstLine="420"/>
        <w:rPr>
          <w:rFonts w:ascii="宋体" w:hAnsi="宋体"/>
          <w:szCs w:val="21"/>
        </w:rPr>
      </w:pPr>
      <w:r>
        <w:rPr>
          <w:rFonts w:hint="eastAsia" w:ascii="宋体" w:hAnsi="宋体"/>
          <w:szCs w:val="21"/>
        </w:rPr>
        <w:t>日期：</w:t>
      </w:r>
    </w:p>
    <w:p/>
    <w:p/>
    <w:p/>
    <w:p/>
    <w:p/>
    <w:p/>
    <w:p/>
    <w:p/>
    <w:p/>
    <w:p/>
    <w:p/>
    <w:p/>
    <w:p/>
    <w:p/>
    <w:p/>
    <w:p/>
    <w:p/>
    <w:p/>
    <w:p/>
    <w:p/>
    <w:p/>
    <w:p/>
    <w:p>
      <w:bookmarkStart w:id="2" w:name="_GoBack"/>
      <w:bookmarkEnd w:id="2"/>
    </w:p>
    <w:sectPr>
      <w:pgSz w:w="11906" w:h="16838"/>
      <w:pgMar w:top="1134" w:right="850" w:bottom="1134" w:left="85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1A340"/>
    <w:multiLevelType w:val="singleLevel"/>
    <w:tmpl w:val="95E1A340"/>
    <w:lvl w:ilvl="0" w:tentative="0">
      <w:start w:val="1"/>
      <w:numFmt w:val="decimal"/>
      <w:lvlText w:val="%1."/>
      <w:lvlJc w:val="left"/>
      <w:pPr>
        <w:tabs>
          <w:tab w:val="left" w:pos="312"/>
        </w:tabs>
      </w:pPr>
    </w:lvl>
  </w:abstractNum>
  <w:abstractNum w:abstractNumId="1">
    <w:nsid w:val="2CB96FCE"/>
    <w:multiLevelType w:val="multilevel"/>
    <w:tmpl w:val="2CB96FCE"/>
    <w:lvl w:ilvl="0" w:tentative="0">
      <w:start w:val="1"/>
      <w:numFmt w:val="chineseCountingThousand"/>
      <w:lvlText w:val="%1."/>
      <w:lvlJc w:val="center"/>
      <w:pPr>
        <w:ind w:left="450" w:hanging="450"/>
      </w:pPr>
      <w:rPr>
        <w:rFonts w:hint="eastAsia"/>
        <w:color w:val="000000"/>
        <w:lang w:val="en-US"/>
      </w:rPr>
    </w:lvl>
    <w:lvl w:ilvl="1" w:tentative="0">
      <w:start w:val="1"/>
      <w:numFmt w:val="decimal"/>
      <w:lvlText w:val="%2."/>
      <w:lvlJc w:val="left"/>
      <w:pPr>
        <w:ind w:left="42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5817B9"/>
    <w:multiLevelType w:val="multilevel"/>
    <w:tmpl w:val="485817B9"/>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83E6D1D"/>
    <w:multiLevelType w:val="multilevel"/>
    <w:tmpl w:val="683E6D1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OTBkMjI0NjYxYjQ4MzJmMzVlNjgxOGEzMDg5YTEifQ=="/>
  </w:docVars>
  <w:rsids>
    <w:rsidRoot w:val="001607BF"/>
    <w:rsid w:val="00027B0A"/>
    <w:rsid w:val="00062786"/>
    <w:rsid w:val="00087E1C"/>
    <w:rsid w:val="000C33CB"/>
    <w:rsid w:val="000D1B9E"/>
    <w:rsid w:val="000E2315"/>
    <w:rsid w:val="001607BF"/>
    <w:rsid w:val="00173CC0"/>
    <w:rsid w:val="001814A9"/>
    <w:rsid w:val="00193C47"/>
    <w:rsid w:val="001F3C61"/>
    <w:rsid w:val="003F0782"/>
    <w:rsid w:val="003F4E2E"/>
    <w:rsid w:val="0041590F"/>
    <w:rsid w:val="00465597"/>
    <w:rsid w:val="004816B4"/>
    <w:rsid w:val="00490EA7"/>
    <w:rsid w:val="00490F49"/>
    <w:rsid w:val="0049332B"/>
    <w:rsid w:val="004A13BF"/>
    <w:rsid w:val="004B0840"/>
    <w:rsid w:val="004C288A"/>
    <w:rsid w:val="00514F75"/>
    <w:rsid w:val="00533563"/>
    <w:rsid w:val="00574B08"/>
    <w:rsid w:val="005D7C4A"/>
    <w:rsid w:val="005F2D60"/>
    <w:rsid w:val="00661E7C"/>
    <w:rsid w:val="00664CC3"/>
    <w:rsid w:val="00667718"/>
    <w:rsid w:val="0067143B"/>
    <w:rsid w:val="006746D7"/>
    <w:rsid w:val="006A0A46"/>
    <w:rsid w:val="006B59AD"/>
    <w:rsid w:val="007127D9"/>
    <w:rsid w:val="0074503B"/>
    <w:rsid w:val="00753840"/>
    <w:rsid w:val="00784696"/>
    <w:rsid w:val="007E5E5F"/>
    <w:rsid w:val="007F0785"/>
    <w:rsid w:val="00885627"/>
    <w:rsid w:val="008C2632"/>
    <w:rsid w:val="008E2CC7"/>
    <w:rsid w:val="008E69A3"/>
    <w:rsid w:val="008F7125"/>
    <w:rsid w:val="00926DC9"/>
    <w:rsid w:val="00930BF7"/>
    <w:rsid w:val="0094209E"/>
    <w:rsid w:val="0096390C"/>
    <w:rsid w:val="0097028D"/>
    <w:rsid w:val="009C6AAF"/>
    <w:rsid w:val="009D25F8"/>
    <w:rsid w:val="00A32E0D"/>
    <w:rsid w:val="00A359EF"/>
    <w:rsid w:val="00A43FEA"/>
    <w:rsid w:val="00A52B51"/>
    <w:rsid w:val="00A6451C"/>
    <w:rsid w:val="00A7396D"/>
    <w:rsid w:val="00AE4C4C"/>
    <w:rsid w:val="00B43934"/>
    <w:rsid w:val="00B9418D"/>
    <w:rsid w:val="00BA6CB8"/>
    <w:rsid w:val="00C44320"/>
    <w:rsid w:val="00C73685"/>
    <w:rsid w:val="00C76857"/>
    <w:rsid w:val="00C90D9D"/>
    <w:rsid w:val="00CA4637"/>
    <w:rsid w:val="00CB3045"/>
    <w:rsid w:val="00D00AB2"/>
    <w:rsid w:val="00D143CA"/>
    <w:rsid w:val="00D2409E"/>
    <w:rsid w:val="00D60F5A"/>
    <w:rsid w:val="00D6461E"/>
    <w:rsid w:val="00DB2A01"/>
    <w:rsid w:val="00DB3F3C"/>
    <w:rsid w:val="00DC1D0A"/>
    <w:rsid w:val="00DE5846"/>
    <w:rsid w:val="00E03E0F"/>
    <w:rsid w:val="00E07207"/>
    <w:rsid w:val="00E25C32"/>
    <w:rsid w:val="00E52A91"/>
    <w:rsid w:val="00E9122F"/>
    <w:rsid w:val="00EA3D59"/>
    <w:rsid w:val="00EB1B34"/>
    <w:rsid w:val="00F254B8"/>
    <w:rsid w:val="00F40018"/>
    <w:rsid w:val="00FB5A2B"/>
    <w:rsid w:val="00FB7BAD"/>
    <w:rsid w:val="00FE7E9B"/>
    <w:rsid w:val="0EF95B5E"/>
    <w:rsid w:val="228A7CB0"/>
    <w:rsid w:val="23BA3F2A"/>
    <w:rsid w:val="275B0EF7"/>
    <w:rsid w:val="29A64B86"/>
    <w:rsid w:val="303A0E60"/>
    <w:rsid w:val="5A0F20DD"/>
    <w:rsid w:val="6BCA6DBC"/>
    <w:rsid w:val="7239372D"/>
    <w:rsid w:val="7BB54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eastAsiaTheme="minorEastAsia"/>
      <w:szCs w:val="21"/>
    </w:rPr>
  </w:style>
  <w:style w:type="paragraph" w:styleId="5">
    <w:name w:val="Date"/>
    <w:basedOn w:val="1"/>
    <w:next w:val="1"/>
    <w:link w:val="14"/>
    <w:uiPriority w:val="0"/>
    <w:pPr>
      <w:ind w:left="100" w:leftChars="2500"/>
    </w:pPr>
  </w:style>
  <w:style w:type="paragraph" w:styleId="6">
    <w:name w:val="footer"/>
    <w:basedOn w:val="1"/>
    <w:uiPriority w:val="99"/>
    <w:pPr>
      <w:tabs>
        <w:tab w:val="center" w:pos="4153"/>
        <w:tab w:val="right" w:pos="8306"/>
      </w:tabs>
      <w:snapToGrid w:val="0"/>
      <w:jc w:val="left"/>
    </w:pPr>
    <w:rPr>
      <w:sz w:val="18"/>
      <w:szCs w:val="18"/>
    </w:rPr>
  </w:style>
  <w:style w:type="paragraph" w:styleId="7">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1">
    <w:name w:val="编号"/>
    <w:basedOn w:val="1"/>
    <w:next w:val="12"/>
    <w:qFormat/>
    <w:uiPriority w:val="34"/>
    <w:pPr>
      <w:ind w:firstLine="420" w:firstLineChars="200"/>
    </w:pPr>
    <w:rPr>
      <w:rFonts w:ascii="Calibri" w:hAnsi="Calibri"/>
      <w:szCs w:val="22"/>
    </w:rPr>
  </w:style>
  <w:style w:type="paragraph" w:styleId="12">
    <w:name w:val="List Paragraph"/>
    <w:basedOn w:val="1"/>
    <w:qFormat/>
    <w:uiPriority w:val="34"/>
    <w:pPr>
      <w:ind w:firstLine="420" w:firstLineChars="200"/>
    </w:pPr>
  </w:style>
  <w:style w:type="character" w:customStyle="1" w:styleId="13">
    <w:name w:val="页眉 Char"/>
    <w:basedOn w:val="10"/>
    <w:link w:val="7"/>
    <w:qFormat/>
    <w:uiPriority w:val="0"/>
    <w:rPr>
      <w:kern w:val="2"/>
      <w:sz w:val="18"/>
      <w:szCs w:val="18"/>
    </w:rPr>
  </w:style>
  <w:style w:type="character" w:customStyle="1" w:styleId="14">
    <w:name w:val="日期 Char"/>
    <w:basedOn w:val="10"/>
    <w:link w:val="5"/>
    <w:qFormat/>
    <w:uiPriority w:val="0"/>
    <w:rPr>
      <w:kern w:val="2"/>
      <w:sz w:val="21"/>
      <w:szCs w:val="24"/>
    </w:rPr>
  </w:style>
  <w:style w:type="character" w:customStyle="1" w:styleId="15">
    <w:name w:val="标题 3 Char"/>
    <w:basedOn w:val="10"/>
    <w:link w:val="3"/>
    <w:semiHidden/>
    <w:qFormat/>
    <w:uiPriority w:val="0"/>
    <w:rPr>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E0C9-0443-4A28-A13D-17CE020292D8}">
  <ds:schemaRefs/>
</ds:datastoreItem>
</file>

<file path=docProps/app.xml><?xml version="1.0" encoding="utf-8"?>
<Properties xmlns="http://schemas.openxmlformats.org/officeDocument/2006/extended-properties" xmlns:vt="http://schemas.openxmlformats.org/officeDocument/2006/docPropsVTypes">
  <Template>Normal</Template>
  <Pages>7</Pages>
  <Words>577</Words>
  <Characters>3291</Characters>
  <Lines>27</Lines>
  <Paragraphs>7</Paragraphs>
  <TotalTime>14</TotalTime>
  <ScaleCrop>false</ScaleCrop>
  <LinksUpToDate>false</LinksUpToDate>
  <CharactersWithSpaces>3861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2023-01-05T08:55:00Z</dcterms:created>
  <dc:creator>林云莉</dc:creator>
  <cp:lastModifiedBy>奋斗中的COW</cp:lastModifiedBy>
  <dcterms:modified xsi:type="dcterms:W3CDTF">2023-10-20T02:05:36Z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3A9502EEB5B44447A8C26F8FA0EC5670_12</vt:lpwstr>
  </property>
</Properties>
</file>